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190"/>
        <w:gridCol w:w="6255"/>
        <w:tblGridChange w:id="0">
          <w:tblGrid>
            <w:gridCol w:w="2565"/>
            <w:gridCol w:w="219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упражнения и №№170,178,179.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текстов: И.Тургенев “Отцы и дети”, А.Н.Островский “Гроза”.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отрывки.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 "Цилиндр".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у эстрадников конспект лекции по фортепианному циклу Шумана “Карнавал”. Задание на 09.11.20: опрос по вокальному циклу Шумана “Любовь поэта”.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Спеть голоса приёмом сольфеджирование и со словами с игрой противоположного голоса в припеве произведения Я. Дубравина “Песни наших отцов”. 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(сольфеджировать) хоровые партии в цифре №21 в “Половецких песнях и плясках” А.П.Бородина из оп. “Князь Игорь”.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Сущность процесса обучения, его функции, движущие силы, звенья, структура.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https://yadi.sk/d/Hyjdm9II79_kCw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А. С. Даргомыжского “Русалка”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(сольфеджировать) хоровые партии в цифре №21 в “Половецких песнях и плясках” А.П.Бородина из оп. “Князь Игорь”.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Д9 - петь и играть в натуральном и гармоническом мажоре и гармоническом миноре, в полном и неполном виде, разрешая сразу в Т и через Д7 в Т - в тональностях до 3-х знаков.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Гармонический оборот с отклонениями (взять у Лены Гафаровой) петь и играть в 3-х тональностях.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№504 - наизусть и транспорт в си минор; №266 двухголосие №86 и №87.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Самодиктант!!!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Здоровый образ жизни. - чит. с. 311-345 Учебник ОБЖ 10 кл./М.П. Фролов. - М.2014.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(сольфеджировать) хоровые партии в цифре №21 в “Половецких песнях и плясках” А.П.Бородина из оп. “Князь Игорь”.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методической литературы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d/Hyjdm9II79_kCw" TargetMode="External"/><Relationship Id="rId8" Type="http://schemas.openxmlformats.org/officeDocument/2006/relationships/hyperlink" Target="https://yadi.sk/d/Hyjdm9II79_k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0PFdgXWHRwHu/RJzrGkZGWoHg==">AMUW2mV4NCFphVaBhemWa5SpmBDNKFCc1N9A/6XNORIgoMpog7d80BLLfZX2mie6OX6gVGeaw9knihMcoDNPG3vy+67uExM7nUUYIyvc1pKrGM/Jzh2OoR4=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