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685"/>
        <w:tblGridChange w:id="0">
          <w:tblGrid>
            <w:gridCol w:w="2970"/>
            <w:gridCol w:w="2415"/>
            <w:gridCol w:w="568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11.11.2020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Абызова стр.89 № 9,10; стр. 91 №18.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Из. музык. лит-ры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Моисеевич О.А.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Собрать материал по истории развития музыковедения (древний мир, средневековье, 18 - 20 век).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Законспектировать биографию Й. Гайдна (МЛЗС вып. 2)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тему “Русская музыкальная культура 60-70-х годов XIX века” (срок сдачи - 13.11.2020)</w:t>
            </w:r>
          </w:p>
        </w:tc>
      </w:tr>
    </w:tbl>
    <w:p w:rsidR="00000000" w:rsidDel="00000000" w:rsidP="00000000" w:rsidRDefault="00000000" w:rsidRPr="00000000" w14:paraId="00000026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9rTe2dzv/XGRWZ4AaRz9mSVbg==">AMUW2mVSxYrkfCiUTRb+Pjxg56YOVKpbPDxk6IE1g9qYYNXTGoqKvdynJ64OUoSK/ZJG0oxSjscLIEr3oPnLFnMPTG84FZFwXPTIsSFGoV6PAY3kmfrNh5o=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